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801264">
        <w:rPr>
          <w:sz w:val="22"/>
          <w:szCs w:val="22"/>
        </w:rPr>
        <w:t>:</w:t>
      </w:r>
      <w:r w:rsidR="00016A4D">
        <w:rPr>
          <w:b/>
          <w:sz w:val="22"/>
          <w:szCs w:val="22"/>
        </w:rPr>
        <w:t xml:space="preserve"> </w:t>
      </w:r>
      <w:r w:rsidR="00801264" w:rsidRPr="00801264">
        <w:rPr>
          <w:b/>
          <w:sz w:val="22"/>
          <w:szCs w:val="22"/>
        </w:rPr>
        <w:t>Reforma</w:t>
      </w:r>
      <w:r w:rsidR="0063796A" w:rsidRPr="00801264">
        <w:rPr>
          <w:b/>
          <w:sz w:val="22"/>
          <w:szCs w:val="22"/>
        </w:rPr>
        <w:t>.</w:t>
      </w:r>
    </w:p>
    <w:p w:rsidR="00883840" w:rsidRPr="00801264"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801264">
        <w:rPr>
          <w:b/>
          <w:sz w:val="22"/>
          <w:szCs w:val="22"/>
        </w:rPr>
        <w:t>C</w:t>
      </w:r>
      <w:r w:rsidR="00801264" w:rsidRPr="00801264">
        <w:rPr>
          <w:b/>
          <w:sz w:val="22"/>
          <w:szCs w:val="22"/>
        </w:rPr>
        <w:t xml:space="preserve">olégio </w:t>
      </w:r>
      <w:r w:rsidR="00801264">
        <w:rPr>
          <w:b/>
          <w:sz w:val="22"/>
          <w:szCs w:val="22"/>
        </w:rPr>
        <w:t>E</w:t>
      </w:r>
      <w:r w:rsidR="00801264" w:rsidRPr="00801264">
        <w:rPr>
          <w:b/>
          <w:sz w:val="22"/>
          <w:szCs w:val="22"/>
        </w:rPr>
        <w:t xml:space="preserve">stadual </w:t>
      </w:r>
      <w:r w:rsidR="00801264">
        <w:rPr>
          <w:b/>
          <w:sz w:val="22"/>
          <w:szCs w:val="22"/>
        </w:rPr>
        <w:t>P</w:t>
      </w:r>
      <w:r w:rsidR="00801264" w:rsidRPr="00801264">
        <w:rPr>
          <w:b/>
          <w:sz w:val="22"/>
          <w:szCs w:val="22"/>
        </w:rPr>
        <w:t xml:space="preserve">rofessor </w:t>
      </w:r>
      <w:r w:rsidR="00801264">
        <w:rPr>
          <w:b/>
          <w:sz w:val="22"/>
          <w:szCs w:val="22"/>
        </w:rPr>
        <w:t>B</w:t>
      </w:r>
      <w:r w:rsidR="00801264" w:rsidRPr="00801264">
        <w:rPr>
          <w:b/>
          <w:sz w:val="22"/>
          <w:szCs w:val="22"/>
        </w:rPr>
        <w:t xml:space="preserve">raz </w:t>
      </w:r>
      <w:r w:rsidR="00801264">
        <w:rPr>
          <w:b/>
          <w:sz w:val="22"/>
          <w:szCs w:val="22"/>
        </w:rPr>
        <w:t>S</w:t>
      </w:r>
      <w:r w:rsidR="00801264" w:rsidRPr="00801264">
        <w:rPr>
          <w:b/>
          <w:sz w:val="22"/>
          <w:szCs w:val="22"/>
        </w:rPr>
        <w:t xml:space="preserve">imões </w:t>
      </w:r>
      <w:r w:rsidR="00801264">
        <w:rPr>
          <w:b/>
          <w:sz w:val="22"/>
          <w:szCs w:val="22"/>
        </w:rPr>
        <w:t>B</w:t>
      </w:r>
      <w:r w:rsidR="00801264" w:rsidRPr="00801264">
        <w:rPr>
          <w:b/>
          <w:sz w:val="22"/>
          <w:szCs w:val="22"/>
        </w:rPr>
        <w:t>orges</w:t>
      </w:r>
      <w:r w:rsidR="00801264">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016A4D">
        <w:rPr>
          <w:sz w:val="22"/>
          <w:szCs w:val="22"/>
        </w:rPr>
        <w:t xml:space="preserve"> </w:t>
      </w:r>
      <w:r w:rsidR="0063796A" w:rsidRPr="00801264">
        <w:rPr>
          <w:b/>
          <w:sz w:val="22"/>
          <w:szCs w:val="22"/>
        </w:rPr>
        <w:t>Rua</w:t>
      </w:r>
      <w:r w:rsidR="00801264" w:rsidRPr="00801264">
        <w:rPr>
          <w:b/>
          <w:sz w:val="22"/>
          <w:szCs w:val="22"/>
        </w:rPr>
        <w:t xml:space="preserve"> </w:t>
      </w:r>
      <w:r w:rsidR="00801264" w:rsidRPr="00801264">
        <w:rPr>
          <w:b/>
          <w:sz w:val="22"/>
          <w:szCs w:val="22"/>
        </w:rPr>
        <w:t>Rio Turvo</w:t>
      </w:r>
      <w:r w:rsidR="00801264" w:rsidRPr="00801264">
        <w:rPr>
          <w:b/>
          <w:sz w:val="22"/>
          <w:szCs w:val="22"/>
        </w:rPr>
        <w:t>,</w:t>
      </w:r>
      <w:r w:rsidR="00801264" w:rsidRPr="00801264">
        <w:rPr>
          <w:b/>
          <w:sz w:val="22"/>
          <w:szCs w:val="22"/>
        </w:rPr>
        <w:t xml:space="preserve"> nº 793</w:t>
      </w:r>
      <w:r w:rsidR="00801264" w:rsidRPr="00801264">
        <w:rPr>
          <w:b/>
          <w:sz w:val="22"/>
          <w:szCs w:val="22"/>
        </w:rPr>
        <w:t>,</w:t>
      </w:r>
      <w:r w:rsidR="00801264" w:rsidRPr="00801264">
        <w:rPr>
          <w:b/>
          <w:sz w:val="22"/>
          <w:szCs w:val="22"/>
        </w:rPr>
        <w:t xml:space="preserve"> Centro</w:t>
      </w:r>
      <w:r w:rsidR="00801264" w:rsidRPr="00801264">
        <w:rPr>
          <w:b/>
          <w:sz w:val="22"/>
          <w:szCs w:val="22"/>
        </w:rPr>
        <w:t xml:space="preserve">. </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proofErr w:type="spellStart"/>
      <w:r w:rsidR="00801264" w:rsidRPr="00801264">
        <w:rPr>
          <w:b/>
          <w:sz w:val="22"/>
          <w:szCs w:val="22"/>
        </w:rPr>
        <w:t>Porteirão</w:t>
      </w:r>
      <w:proofErr w:type="spellEnd"/>
      <w:r w:rsidR="00801264" w:rsidRPr="00801264">
        <w:rPr>
          <w:b/>
          <w:sz w:val="22"/>
          <w:szCs w:val="22"/>
        </w:rPr>
        <w:t>-GO.</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801264" w:rsidRPr="00801264">
        <w:rPr>
          <w:b/>
          <w:sz w:val="22"/>
          <w:szCs w:val="22"/>
        </w:rPr>
        <w:t>Santa Helena</w:t>
      </w:r>
      <w:r w:rsidRPr="00801264">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244D30" w:rsidRPr="00C568B9" w:rsidRDefault="00244D30" w:rsidP="00CE64B1">
      <w:pPr>
        <w:autoSpaceDE w:val="0"/>
        <w:autoSpaceDN w:val="0"/>
        <w:adjustRightInd w:val="0"/>
        <w:spacing w:line="300" w:lineRule="atLeast"/>
        <w:ind w:left="794"/>
        <w:jc w:val="both"/>
        <w:rPr>
          <w:sz w:val="22"/>
          <w:szCs w:val="22"/>
        </w:rPr>
      </w:pPr>
      <w:r w:rsidRPr="00C568B9">
        <w:rPr>
          <w:sz w:val="22"/>
          <w:szCs w:val="22"/>
        </w:rPr>
        <w:t>A presente contratação justifica-se devido à necessidade de haver um local nas escolas para realização de atividades esportivas, evitando assim que estas atividades sejam ministradas em pátios, estacionamentos e descampados.</w:t>
      </w:r>
    </w:p>
    <w:p w:rsidR="00244D30" w:rsidRPr="00C568B9" w:rsidRDefault="00244D30" w:rsidP="00CE64B1">
      <w:pPr>
        <w:autoSpaceDE w:val="0"/>
        <w:autoSpaceDN w:val="0"/>
        <w:adjustRightInd w:val="0"/>
        <w:spacing w:line="300" w:lineRule="atLeast"/>
        <w:ind w:left="794"/>
        <w:jc w:val="both"/>
        <w:rPr>
          <w:sz w:val="22"/>
          <w:szCs w:val="22"/>
        </w:rPr>
      </w:pPr>
      <w:r w:rsidRPr="00C568B9">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C568B9" w:rsidRDefault="008970CF" w:rsidP="007035DC">
      <w:pPr>
        <w:autoSpaceDE w:val="0"/>
        <w:autoSpaceDN w:val="0"/>
        <w:adjustRightInd w:val="0"/>
        <w:spacing w:line="300" w:lineRule="atLeast"/>
        <w:ind w:left="794"/>
        <w:jc w:val="both"/>
        <w:rPr>
          <w:sz w:val="22"/>
          <w:szCs w:val="22"/>
        </w:rPr>
      </w:pPr>
      <w:r w:rsidRPr="00C568B9">
        <w:rPr>
          <w:sz w:val="22"/>
          <w:szCs w:val="22"/>
        </w:rPr>
        <w:t xml:space="preserve">A </w:t>
      </w:r>
      <w:r w:rsidR="00C568B9" w:rsidRPr="00C568B9">
        <w:rPr>
          <w:sz w:val="22"/>
          <w:szCs w:val="22"/>
        </w:rPr>
        <w:t>obra</w:t>
      </w:r>
      <w:r w:rsidR="00244D30" w:rsidRPr="00C568B9">
        <w:rPr>
          <w:sz w:val="22"/>
          <w:szCs w:val="22"/>
        </w:rPr>
        <w:t xml:space="preserve"> a ser executada nesta unidade escolar é uma </w:t>
      </w:r>
      <w:r w:rsidR="00C568B9" w:rsidRPr="00C568B9">
        <w:rPr>
          <w:sz w:val="22"/>
          <w:szCs w:val="22"/>
        </w:rPr>
        <w:t>q</w:t>
      </w:r>
      <w:r w:rsidR="00244D30" w:rsidRPr="00C568B9">
        <w:rPr>
          <w:sz w:val="22"/>
          <w:szCs w:val="22"/>
        </w:rPr>
        <w:t xml:space="preserve">uadra </w:t>
      </w:r>
      <w:r w:rsidR="00C568B9" w:rsidRPr="00C568B9">
        <w:rPr>
          <w:sz w:val="22"/>
          <w:szCs w:val="22"/>
        </w:rPr>
        <w:t>descoberta</w:t>
      </w:r>
      <w:r w:rsidR="00244D30" w:rsidRPr="00C568B9">
        <w:rPr>
          <w:sz w:val="22"/>
          <w:szCs w:val="22"/>
        </w:rPr>
        <w:t xml:space="preserve"> e possui uma área de </w:t>
      </w:r>
      <w:r w:rsidR="00C568B9" w:rsidRPr="00C568B9">
        <w:rPr>
          <w:sz w:val="22"/>
          <w:szCs w:val="22"/>
        </w:rPr>
        <w:t>614,27</w:t>
      </w:r>
      <w:r w:rsidR="00244D30" w:rsidRPr="00C568B9">
        <w:rPr>
          <w:sz w:val="22"/>
          <w:szCs w:val="22"/>
        </w:rPr>
        <w:t>m2:</w:t>
      </w:r>
    </w:p>
    <w:p w:rsidR="007035DC" w:rsidRDefault="007035DC" w:rsidP="007035DC">
      <w:pPr>
        <w:autoSpaceDE w:val="0"/>
        <w:autoSpaceDN w:val="0"/>
        <w:adjustRightInd w:val="0"/>
        <w:spacing w:line="300" w:lineRule="atLeast"/>
        <w:ind w:left="794"/>
        <w:jc w:val="both"/>
        <w:rPr>
          <w:color w:val="FF0000"/>
          <w:sz w:val="22"/>
          <w:szCs w:val="22"/>
        </w:rPr>
      </w:pPr>
    </w:p>
    <w:p w:rsidR="00BE3C31" w:rsidRDefault="00BE3C31"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BE3C31" w:rsidP="008A20E7">
            <w:pPr>
              <w:adjustRightInd w:val="0"/>
              <w:spacing w:line="300" w:lineRule="atLeast"/>
              <w:jc w:val="center"/>
              <w:rPr>
                <w:rFonts w:ascii="Times New Roman" w:hAnsi="Times New Roman"/>
                <w:color w:val="FF0000"/>
                <w:sz w:val="20"/>
                <w:szCs w:val="20"/>
              </w:rPr>
            </w:pPr>
            <w:r w:rsidRPr="00BE3C31">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Pr="00A114B6" w:rsidRDefault="007035DC"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Default="001C53B4" w:rsidP="001C53B4">
      <w:pPr>
        <w:pStyle w:val="PargrafodaLista"/>
        <w:spacing w:after="0" w:line="300" w:lineRule="atLeast"/>
        <w:ind w:left="1758"/>
        <w:jc w:val="both"/>
        <w:rPr>
          <w:rFonts w:ascii="Times New Roman" w:hAnsi="Times New Roman"/>
        </w:rPr>
      </w:pPr>
    </w:p>
    <w:p w:rsidR="00AA6190" w:rsidRPr="00A114B6" w:rsidRDefault="00AA6190"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AA6190" w:rsidRPr="00A114B6" w:rsidRDefault="00AA6190" w:rsidP="00D467C7">
      <w:pPr>
        <w:pStyle w:val="PargrafodaLista"/>
        <w:autoSpaceDE w:val="0"/>
        <w:autoSpaceDN w:val="0"/>
        <w:adjustRightInd w:val="0"/>
        <w:spacing w:after="0" w:line="300" w:lineRule="atLeast"/>
        <w:ind w:left="567"/>
        <w:jc w:val="both"/>
        <w:rPr>
          <w:rFonts w:ascii="Times New Roman" w:hAnsi="Times New Roman"/>
          <w:b/>
          <w:bCs/>
        </w:rPr>
      </w:pPr>
    </w:p>
    <w:p w:rsidR="00BA6EBD" w:rsidRPr="00BA6EBD" w:rsidRDefault="00BA6EBD" w:rsidP="00BA6EBD">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BA6EBD">
        <w:rPr>
          <w:rFonts w:ascii="Times New Roman" w:hAnsi="Times New Roman"/>
          <w:lang w:eastAsia="pt-BR"/>
        </w:rPr>
        <w:lastRenderedPageBreak/>
        <w:t>Quadra poliesportiva:</w:t>
      </w:r>
    </w:p>
    <w:p w:rsidR="00BA6EBD" w:rsidRPr="00BA6EBD" w:rsidRDefault="00BA6EBD" w:rsidP="00BA6EBD">
      <w:pPr>
        <w:pStyle w:val="PargrafodaLista"/>
        <w:autoSpaceDE w:val="0"/>
        <w:autoSpaceDN w:val="0"/>
        <w:adjustRightInd w:val="0"/>
        <w:spacing w:after="0" w:line="300" w:lineRule="atLeast"/>
        <w:ind w:left="907"/>
        <w:jc w:val="both"/>
        <w:rPr>
          <w:rFonts w:ascii="Times New Roman" w:hAnsi="Times New Roman"/>
          <w:lang w:eastAsia="pt-BR"/>
        </w:rPr>
      </w:pPr>
      <w:r w:rsidRPr="00BA6EBD">
        <w:rPr>
          <w:rFonts w:ascii="Times New Roman" w:hAnsi="Times New Roman"/>
          <w:lang w:eastAsia="pt-BR"/>
        </w:rPr>
        <w:t>-</w:t>
      </w:r>
      <w:r w:rsidRPr="00BA6EBD">
        <w:rPr>
          <w:rFonts w:ascii="Times New Roman" w:hAnsi="Times New Roman"/>
          <w:lang w:eastAsia="pt-BR"/>
        </w:rPr>
        <w:t xml:space="preserve"> </w:t>
      </w:r>
      <w:r w:rsidRPr="00BA6EBD">
        <w:rPr>
          <w:rFonts w:ascii="Times New Roman" w:hAnsi="Times New Roman"/>
          <w:lang w:eastAsia="pt-BR"/>
        </w:rPr>
        <w:t>Executar Quadra Poliesportiva Descoberta.</w:t>
      </w:r>
    </w:p>
    <w:p w:rsidR="00BA6EBD" w:rsidRPr="00BA6EBD" w:rsidRDefault="00BA6EBD" w:rsidP="00BA6EBD">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BA6EBD">
        <w:rPr>
          <w:rFonts w:ascii="Times New Roman" w:hAnsi="Times New Roman"/>
          <w:lang w:eastAsia="pt-BR"/>
        </w:rPr>
        <w:t>Calçada:</w:t>
      </w:r>
    </w:p>
    <w:p w:rsidR="00BA6EBD" w:rsidRPr="00BA6EBD" w:rsidRDefault="00BA6EBD" w:rsidP="00BA6EBD">
      <w:pPr>
        <w:pStyle w:val="PargrafodaLista"/>
        <w:autoSpaceDE w:val="0"/>
        <w:autoSpaceDN w:val="0"/>
        <w:adjustRightInd w:val="0"/>
        <w:spacing w:after="0" w:line="300" w:lineRule="atLeast"/>
        <w:ind w:left="907"/>
        <w:jc w:val="both"/>
        <w:rPr>
          <w:rFonts w:ascii="Times New Roman" w:hAnsi="Times New Roman"/>
          <w:lang w:eastAsia="pt-BR"/>
        </w:rPr>
      </w:pPr>
      <w:r w:rsidRPr="00BA6EBD">
        <w:rPr>
          <w:rFonts w:ascii="Times New Roman" w:hAnsi="Times New Roman"/>
          <w:lang w:eastAsia="pt-BR"/>
        </w:rPr>
        <w:t>-</w:t>
      </w:r>
      <w:r w:rsidRPr="00BA6EBD">
        <w:rPr>
          <w:rFonts w:ascii="Times New Roman" w:hAnsi="Times New Roman"/>
          <w:lang w:eastAsia="pt-BR"/>
        </w:rPr>
        <w:t xml:space="preserve"> </w:t>
      </w:r>
      <w:r w:rsidRPr="00BA6EBD">
        <w:rPr>
          <w:rFonts w:ascii="Times New Roman" w:hAnsi="Times New Roman"/>
          <w:lang w:eastAsia="pt-BR"/>
        </w:rPr>
        <w:t>Executar Calçada em Concreto Desempenado.</w:t>
      </w:r>
    </w:p>
    <w:p w:rsidR="00DC49FC" w:rsidRPr="00BA6EBD"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BA6EBD">
        <w:rPr>
          <w:rFonts w:ascii="Times New Roman" w:hAnsi="Times New Roman"/>
        </w:rPr>
        <w:t xml:space="preserve">Providenciar </w:t>
      </w:r>
      <w:r w:rsidR="00DC49FC" w:rsidRPr="00BA6EBD">
        <w:rPr>
          <w:rFonts w:ascii="Times New Roman" w:hAnsi="Times New Roman"/>
        </w:rPr>
        <w:t>caçambas para retirada de entulho, restos de materiais da obra e descarte de alg</w:t>
      </w:r>
      <w:r w:rsidR="00F37B23" w:rsidRPr="00BA6EBD">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A05833" w:rsidRDefault="00A05833"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BE30D6">
              <w:rPr>
                <w:rFonts w:eastAsia="Arial Unicode MS"/>
                <w:b/>
              </w:rPr>
              <w:t>R$</w:t>
            </w:r>
            <w:r w:rsidR="00BE30D6" w:rsidRPr="00BE30D6">
              <w:rPr>
                <w:rFonts w:eastAsia="Arial Unicode MS"/>
                <w:b/>
              </w:rPr>
              <w:t>102</w:t>
            </w:r>
            <w:r w:rsidR="00BE30D6" w:rsidRPr="00BE30D6">
              <w:rPr>
                <w:rFonts w:eastAsia="Arial Unicode MS"/>
                <w:b/>
              </w:rPr>
              <w:t>.</w:t>
            </w:r>
            <w:r w:rsidR="00BE30D6" w:rsidRPr="00BE30D6">
              <w:rPr>
                <w:rFonts w:eastAsia="Arial Unicode MS"/>
                <w:b/>
              </w:rPr>
              <w:t>575,46</w:t>
            </w:r>
            <w:r w:rsidRPr="00BE30D6">
              <w:rPr>
                <w:rFonts w:eastAsia="Arial Unicode MS"/>
                <w:b/>
              </w:rPr>
              <w:t xml:space="preserve"> – DESONERADA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AA6190">
        <w:trPr>
          <w:trHeight w:val="5034"/>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BE30D6" w:rsidRPr="00BE30D6" w:rsidRDefault="003A0C1D" w:rsidP="00BE30D6">
            <w:pPr>
              <w:jc w:val="both"/>
              <w:rPr>
                <w:bCs/>
                <w:sz w:val="20"/>
                <w:szCs w:val="20"/>
              </w:rPr>
            </w:pPr>
            <w:r w:rsidRPr="00BE30D6">
              <w:rPr>
                <w:bCs/>
                <w:sz w:val="20"/>
                <w:szCs w:val="20"/>
              </w:rPr>
              <w:t>SERVIÇOS PRELIMINARES</w:t>
            </w:r>
            <w:r w:rsidR="00BE30D6" w:rsidRPr="00BE30D6">
              <w:rPr>
                <w:bCs/>
                <w:sz w:val="20"/>
                <w:szCs w:val="20"/>
              </w:rPr>
              <w:tab/>
            </w:r>
            <w:r w:rsidR="00BE30D6" w:rsidRPr="00BE30D6">
              <w:rPr>
                <w:bCs/>
                <w:sz w:val="20"/>
                <w:szCs w:val="20"/>
              </w:rPr>
              <w:tab/>
            </w:r>
          </w:p>
          <w:p w:rsidR="00BE30D6" w:rsidRPr="00BE30D6" w:rsidRDefault="00BE30D6" w:rsidP="00BE30D6">
            <w:pPr>
              <w:jc w:val="both"/>
              <w:rPr>
                <w:bCs/>
                <w:sz w:val="20"/>
                <w:szCs w:val="20"/>
              </w:rPr>
            </w:pPr>
            <w:r w:rsidRPr="00BE30D6">
              <w:rPr>
                <w:bCs/>
                <w:sz w:val="20"/>
                <w:szCs w:val="20"/>
              </w:rPr>
              <w:t>ADMINISTRAÇÃO LOCAL</w:t>
            </w:r>
          </w:p>
          <w:p w:rsidR="00C822E0" w:rsidRPr="00D56C5C" w:rsidRDefault="00BE30D6" w:rsidP="00BE30D6">
            <w:pPr>
              <w:jc w:val="both"/>
              <w:rPr>
                <w:b/>
                <w:bCs/>
                <w:sz w:val="20"/>
                <w:szCs w:val="20"/>
              </w:rPr>
            </w:pPr>
            <w:r w:rsidRPr="00BE30D6">
              <w:rPr>
                <w:bCs/>
                <w:sz w:val="20"/>
                <w:szCs w:val="20"/>
              </w:rPr>
              <w:t>QUADRA DESCOBERTA</w:t>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5F23D9" w:rsidRPr="00BE30D6" w:rsidRDefault="003A0C1D" w:rsidP="00BE30D6">
            <w:pPr>
              <w:jc w:val="center"/>
              <w:rPr>
                <w:bCs/>
                <w:sz w:val="20"/>
                <w:szCs w:val="20"/>
              </w:rPr>
            </w:pPr>
            <w:r w:rsidRPr="00D56C5C">
              <w:rPr>
                <w:bCs/>
                <w:sz w:val="20"/>
                <w:szCs w:val="20"/>
              </w:rPr>
              <w:t>1</w:t>
            </w: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BE30D6" w:rsidRPr="00BE30D6" w:rsidRDefault="00BE30D6" w:rsidP="00BE30D6">
            <w:pPr>
              <w:jc w:val="right"/>
              <w:rPr>
                <w:bCs/>
                <w:sz w:val="20"/>
                <w:szCs w:val="20"/>
              </w:rPr>
            </w:pPr>
            <w:r w:rsidRPr="00BE30D6">
              <w:rPr>
                <w:bCs/>
                <w:sz w:val="20"/>
                <w:szCs w:val="20"/>
              </w:rPr>
              <w:t>1.064,54</w:t>
            </w:r>
          </w:p>
          <w:p w:rsidR="00BE30D6" w:rsidRPr="00BE30D6" w:rsidRDefault="00BE30D6" w:rsidP="00BE30D6">
            <w:pPr>
              <w:jc w:val="right"/>
              <w:rPr>
                <w:bCs/>
                <w:sz w:val="20"/>
                <w:szCs w:val="20"/>
              </w:rPr>
            </w:pPr>
            <w:r w:rsidRPr="00BE30D6">
              <w:rPr>
                <w:bCs/>
                <w:sz w:val="20"/>
                <w:szCs w:val="20"/>
              </w:rPr>
              <w:t>5.828,28</w:t>
            </w:r>
          </w:p>
          <w:p w:rsidR="00B96F8C" w:rsidRPr="00D56C5C" w:rsidRDefault="00BE30D6" w:rsidP="00BE30D6">
            <w:pPr>
              <w:jc w:val="right"/>
              <w:rPr>
                <w:b/>
                <w:bCs/>
                <w:sz w:val="20"/>
                <w:szCs w:val="20"/>
              </w:rPr>
            </w:pPr>
            <w:r w:rsidRPr="00BE30D6">
              <w:rPr>
                <w:bCs/>
                <w:sz w:val="20"/>
                <w:szCs w:val="20"/>
              </w:rPr>
              <w:t>95.682,64</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BE30D6" w:rsidP="00016A4D">
            <w:pPr>
              <w:jc w:val="center"/>
              <w:rPr>
                <w:b/>
                <w:bCs/>
                <w:color w:val="FF0000"/>
                <w:sz w:val="20"/>
                <w:szCs w:val="20"/>
              </w:rPr>
            </w:pPr>
            <w:r w:rsidRPr="00BE30D6">
              <w:rPr>
                <w:b/>
                <w:bCs/>
                <w:sz w:val="20"/>
                <w:szCs w:val="20"/>
              </w:rPr>
              <w:t>102</w:t>
            </w:r>
            <w:r w:rsidRPr="00BE30D6">
              <w:rPr>
                <w:b/>
                <w:bCs/>
                <w:sz w:val="20"/>
                <w:szCs w:val="20"/>
              </w:rPr>
              <w:t>.</w:t>
            </w:r>
            <w:r w:rsidRPr="00BE30D6">
              <w:rPr>
                <w:b/>
                <w:bCs/>
                <w:sz w:val="20"/>
                <w:szCs w:val="20"/>
              </w:rPr>
              <w:t>575,46</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BE30D6" w:rsidRDefault="00B945D8" w:rsidP="008B6713">
            <w:pPr>
              <w:rPr>
                <w:bCs/>
                <w:sz w:val="20"/>
                <w:szCs w:val="20"/>
              </w:rPr>
            </w:pPr>
          </w:p>
          <w:p w:rsidR="00137CC0" w:rsidRPr="00BE30D6" w:rsidRDefault="00137CC0" w:rsidP="008B6713">
            <w:pPr>
              <w:rPr>
                <w:bCs/>
                <w:sz w:val="20"/>
                <w:szCs w:val="20"/>
              </w:rPr>
            </w:pPr>
            <w:r w:rsidRPr="00BE30D6">
              <w:rPr>
                <w:bCs/>
                <w:sz w:val="20"/>
                <w:szCs w:val="20"/>
              </w:rPr>
              <w:t xml:space="preserve">- </w:t>
            </w:r>
            <w:r w:rsidR="00BE30D6" w:rsidRPr="00BE30D6">
              <w:rPr>
                <w:bCs/>
                <w:sz w:val="20"/>
                <w:szCs w:val="20"/>
              </w:rPr>
              <w:t>Piso Laminado com Concreto</w:t>
            </w:r>
          </w:p>
          <w:p w:rsidR="00137CC0" w:rsidRPr="00BE30D6" w:rsidRDefault="00137CC0" w:rsidP="008B6713">
            <w:pPr>
              <w:rPr>
                <w:bCs/>
                <w:sz w:val="20"/>
                <w:szCs w:val="20"/>
              </w:rPr>
            </w:pPr>
            <w:r w:rsidRPr="00BE30D6">
              <w:rPr>
                <w:bCs/>
                <w:sz w:val="20"/>
                <w:szCs w:val="20"/>
              </w:rPr>
              <w:t xml:space="preserve">- </w:t>
            </w:r>
            <w:r w:rsidR="00BE30D6" w:rsidRPr="00BE30D6">
              <w:rPr>
                <w:bCs/>
                <w:sz w:val="20"/>
                <w:szCs w:val="20"/>
              </w:rPr>
              <w:t>Massa Única, para recebimento de pintura</w:t>
            </w:r>
          </w:p>
          <w:p w:rsidR="00331675" w:rsidRPr="00BE30D6" w:rsidRDefault="00331675" w:rsidP="008B6713">
            <w:pPr>
              <w:rPr>
                <w:bCs/>
                <w:sz w:val="20"/>
                <w:szCs w:val="20"/>
              </w:rPr>
            </w:pPr>
          </w:p>
        </w:tc>
        <w:tc>
          <w:tcPr>
            <w:tcW w:w="1068" w:type="dxa"/>
            <w:tcBorders>
              <w:top w:val="single" w:sz="4" w:space="0" w:color="auto"/>
              <w:left w:val="nil"/>
              <w:bottom w:val="single" w:sz="4" w:space="0" w:color="auto"/>
              <w:right w:val="single" w:sz="4" w:space="0" w:color="auto"/>
            </w:tcBorders>
          </w:tcPr>
          <w:p w:rsidR="00B945D8" w:rsidRPr="00BE30D6" w:rsidRDefault="00B945D8" w:rsidP="008B6713">
            <w:pPr>
              <w:jc w:val="center"/>
              <w:rPr>
                <w:bCs/>
                <w:sz w:val="20"/>
                <w:szCs w:val="20"/>
              </w:rPr>
            </w:pPr>
          </w:p>
          <w:p w:rsidR="00137CC0" w:rsidRPr="00BE30D6" w:rsidRDefault="00137CC0" w:rsidP="008B6713">
            <w:pPr>
              <w:jc w:val="center"/>
              <w:rPr>
                <w:bCs/>
                <w:sz w:val="20"/>
                <w:szCs w:val="20"/>
              </w:rPr>
            </w:pPr>
            <w:r w:rsidRPr="00BE30D6">
              <w:rPr>
                <w:bCs/>
                <w:sz w:val="20"/>
                <w:szCs w:val="20"/>
              </w:rPr>
              <w:t>M²</w:t>
            </w:r>
          </w:p>
          <w:p w:rsidR="00137CC0" w:rsidRPr="00BE30D6" w:rsidRDefault="00137CC0" w:rsidP="008B6713">
            <w:pPr>
              <w:jc w:val="center"/>
              <w:rPr>
                <w:bCs/>
                <w:sz w:val="20"/>
                <w:szCs w:val="20"/>
              </w:rPr>
            </w:pPr>
            <w:r w:rsidRPr="00BE30D6">
              <w:rPr>
                <w:bCs/>
                <w:sz w:val="20"/>
                <w:szCs w:val="20"/>
              </w:rPr>
              <w:t>M²</w:t>
            </w:r>
          </w:p>
          <w:p w:rsidR="00137CC0" w:rsidRPr="00BE30D6" w:rsidRDefault="00137CC0" w:rsidP="00BE30D6">
            <w:pPr>
              <w:rPr>
                <w:bCs/>
                <w:sz w:val="20"/>
                <w:szCs w:val="20"/>
              </w:rPr>
            </w:pPr>
          </w:p>
        </w:tc>
        <w:tc>
          <w:tcPr>
            <w:tcW w:w="992" w:type="dxa"/>
            <w:tcBorders>
              <w:top w:val="single" w:sz="4" w:space="0" w:color="auto"/>
              <w:left w:val="nil"/>
              <w:bottom w:val="single" w:sz="4" w:space="0" w:color="auto"/>
              <w:right w:val="single" w:sz="4" w:space="0" w:color="auto"/>
            </w:tcBorders>
          </w:tcPr>
          <w:p w:rsidR="00B945D8" w:rsidRPr="00BE30D6" w:rsidRDefault="00B945D8" w:rsidP="008B6713">
            <w:pPr>
              <w:jc w:val="right"/>
              <w:rPr>
                <w:bCs/>
                <w:sz w:val="20"/>
                <w:szCs w:val="20"/>
              </w:rPr>
            </w:pPr>
          </w:p>
          <w:p w:rsidR="00137CC0" w:rsidRPr="00BE30D6" w:rsidRDefault="00BE30D6" w:rsidP="008B6713">
            <w:pPr>
              <w:jc w:val="right"/>
              <w:rPr>
                <w:bCs/>
                <w:sz w:val="20"/>
                <w:szCs w:val="20"/>
              </w:rPr>
            </w:pPr>
            <w:r w:rsidRPr="00BE30D6">
              <w:rPr>
                <w:bCs/>
                <w:sz w:val="20"/>
                <w:szCs w:val="20"/>
              </w:rPr>
              <w:t>577,28</w:t>
            </w:r>
          </w:p>
          <w:p w:rsidR="00137CC0" w:rsidRPr="00BE30D6" w:rsidRDefault="00BE30D6" w:rsidP="008B6713">
            <w:pPr>
              <w:jc w:val="right"/>
              <w:rPr>
                <w:bCs/>
                <w:sz w:val="20"/>
                <w:szCs w:val="20"/>
              </w:rPr>
            </w:pPr>
            <w:r w:rsidRPr="00BE30D6">
              <w:rPr>
                <w:bCs/>
                <w:sz w:val="20"/>
                <w:szCs w:val="20"/>
              </w:rPr>
              <w:t>198,36</w:t>
            </w:r>
          </w:p>
          <w:p w:rsidR="00137CC0" w:rsidRPr="00BE30D6" w:rsidRDefault="00137CC0" w:rsidP="008B6713">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BE30D6" w:rsidRDefault="00B945D8" w:rsidP="008B6713">
            <w:pPr>
              <w:jc w:val="right"/>
              <w:rPr>
                <w:bCs/>
                <w:sz w:val="20"/>
                <w:szCs w:val="20"/>
              </w:rPr>
            </w:pPr>
          </w:p>
          <w:p w:rsidR="00BE30D6" w:rsidRPr="00BE30D6" w:rsidRDefault="00BE30D6" w:rsidP="008B6713">
            <w:pPr>
              <w:jc w:val="right"/>
              <w:rPr>
                <w:bCs/>
                <w:sz w:val="20"/>
                <w:szCs w:val="20"/>
              </w:rPr>
            </w:pPr>
            <w:r w:rsidRPr="00BE30D6">
              <w:rPr>
                <w:bCs/>
                <w:sz w:val="20"/>
                <w:szCs w:val="20"/>
              </w:rPr>
              <w:t>288,64</w:t>
            </w:r>
          </w:p>
          <w:p w:rsidR="00137CC0" w:rsidRPr="00BE30D6" w:rsidRDefault="00BE30D6" w:rsidP="008B6713">
            <w:pPr>
              <w:jc w:val="right"/>
              <w:rPr>
                <w:bCs/>
                <w:sz w:val="20"/>
                <w:szCs w:val="20"/>
              </w:rPr>
            </w:pPr>
            <w:r w:rsidRPr="00BE30D6">
              <w:rPr>
                <w:bCs/>
                <w:sz w:val="20"/>
                <w:szCs w:val="20"/>
              </w:rPr>
              <w:t>99,18</w:t>
            </w:r>
          </w:p>
          <w:p w:rsidR="00137CC0" w:rsidRPr="00BE30D6" w:rsidRDefault="00137CC0" w:rsidP="008B6713">
            <w:pPr>
              <w:jc w:val="right"/>
              <w:rPr>
                <w:bCs/>
                <w:sz w:val="20"/>
                <w:szCs w:val="20"/>
              </w:rPr>
            </w:pPr>
          </w:p>
        </w:tc>
      </w:tr>
    </w:tbl>
    <w:p w:rsidR="00306E97" w:rsidRDefault="00306E97"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lastRenderedPageBreak/>
        <w:t>DA ESCOLHA DA PLANILHA ORÇAMENTÁRIA</w:t>
      </w:r>
    </w:p>
    <w:p w:rsidR="00DC63F2" w:rsidRDefault="00BF6118" w:rsidP="00DC63F2">
      <w:pPr>
        <w:autoSpaceDE w:val="0"/>
        <w:autoSpaceDN w:val="0"/>
        <w:adjustRightInd w:val="0"/>
        <w:spacing w:line="300" w:lineRule="atLeast"/>
        <w:ind w:left="340"/>
        <w:jc w:val="both"/>
        <w:rPr>
          <w:sz w:val="22"/>
          <w:szCs w:val="22"/>
        </w:rPr>
      </w:pPr>
      <w:r w:rsidRPr="00DC63F2">
        <w:rPr>
          <w:sz w:val="22"/>
          <w:szCs w:val="22"/>
        </w:rPr>
        <w:t xml:space="preserve">Para a obra de </w:t>
      </w:r>
      <w:r w:rsidRPr="00DC63F2">
        <w:rPr>
          <w:b/>
          <w:sz w:val="22"/>
          <w:szCs w:val="22"/>
        </w:rPr>
        <w:t>IMPLATAÇÃO DE QUADRA DESCOBERTA</w:t>
      </w:r>
      <w:r w:rsidRPr="00DC63F2">
        <w:rPr>
          <w:sz w:val="22"/>
          <w:szCs w:val="22"/>
        </w:rPr>
        <w:t xml:space="preserve"> da unidade escolar </w:t>
      </w:r>
      <w:r w:rsidRPr="00DC63F2">
        <w:rPr>
          <w:b/>
          <w:sz w:val="22"/>
          <w:szCs w:val="22"/>
        </w:rPr>
        <w:t>CONSELHO ESCOLAR EDUARDO DE PAULA TEIXEIRA</w:t>
      </w:r>
      <w:r w:rsidRPr="00DC63F2">
        <w:rPr>
          <w:sz w:val="22"/>
          <w:szCs w:val="22"/>
        </w:rPr>
        <w:t>, foram elaboradas planilhas orçamentárias estimadas com as tabelas ONERADA e DESONERADA. Foram utilizados como referência os preços publicados pela AGETOP e SINAPI ou aqueles constantes das composições de custos unitários elaboradas pela Alçar Engenharia</w:t>
      </w:r>
      <w:r w:rsidRPr="00DC63F2">
        <w:rPr>
          <w:sz w:val="22"/>
          <w:szCs w:val="22"/>
        </w:rPr>
        <w:t xml:space="preserve">. </w:t>
      </w:r>
      <w:r w:rsidRPr="00DC63F2">
        <w:rPr>
          <w:sz w:val="22"/>
          <w:szCs w:val="22"/>
        </w:rPr>
        <w:t xml:space="preserve">Após a elaboração das planilhas, verifica-se que a </w:t>
      </w:r>
      <w:r w:rsidRPr="00DC63F2">
        <w:rPr>
          <w:b/>
          <w:sz w:val="22"/>
          <w:szCs w:val="22"/>
        </w:rPr>
        <w:t xml:space="preserve">DESONERADA </w:t>
      </w:r>
      <w:r w:rsidRPr="00DC63F2">
        <w:rPr>
          <w:bCs/>
          <w:sz w:val="22"/>
          <w:szCs w:val="22"/>
        </w:rPr>
        <w:t>é a mais vantajosa</w:t>
      </w:r>
      <w:r w:rsidR="00DC63F2">
        <w:rPr>
          <w:b/>
          <w:sz w:val="22"/>
          <w:szCs w:val="22"/>
        </w:rPr>
        <w:t xml:space="preserve">, </w:t>
      </w:r>
      <w:r w:rsidR="00DC63F2" w:rsidRPr="006F4CA4">
        <w:rPr>
          <w:b/>
          <w:sz w:val="22"/>
          <w:szCs w:val="22"/>
        </w:rPr>
        <w:t>conforme art. 3° da Lei Federal 8.666/93</w:t>
      </w:r>
      <w:r w:rsidR="00DC63F2" w:rsidRPr="006F4CA4">
        <w:rPr>
          <w:sz w:val="22"/>
          <w:szCs w:val="22"/>
        </w:rPr>
        <w:t>.</w:t>
      </w: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recusa do serviço por parte da CONTRATANTE em função de divergência com a proposta apresentada ou com os parâmetros definidos neste instrumento, não acarretará a suspensão do </w:t>
      </w:r>
      <w:r w:rsidRPr="00A114B6">
        <w:rPr>
          <w:rFonts w:ascii="Times New Roman" w:hAnsi="Times New Roman"/>
        </w:rPr>
        <w:lastRenderedPageBreak/>
        <w:t>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lastRenderedPageBreak/>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AA6190" w:rsidRDefault="00AA6190" w:rsidP="00AA6190">
      <w:pPr>
        <w:pStyle w:val="PargrafodaLista"/>
        <w:autoSpaceDE w:val="0"/>
        <w:autoSpaceDN w:val="0"/>
        <w:adjustRightInd w:val="0"/>
        <w:spacing w:after="0" w:line="300" w:lineRule="atLeast"/>
        <w:ind w:left="1758"/>
        <w:jc w:val="both"/>
        <w:rPr>
          <w:rFonts w:ascii="Times New Roman" w:hAnsi="Times New Roman"/>
        </w:rPr>
      </w:pPr>
    </w:p>
    <w:p w:rsidR="00AA6190" w:rsidRPr="00A114B6" w:rsidRDefault="00AA6190" w:rsidP="00AA6190">
      <w:pPr>
        <w:pStyle w:val="PargrafodaLista"/>
        <w:autoSpaceDE w:val="0"/>
        <w:autoSpaceDN w:val="0"/>
        <w:adjustRightInd w:val="0"/>
        <w:spacing w:after="0" w:line="300" w:lineRule="atLeast"/>
        <w:ind w:left="1758"/>
        <w:jc w:val="both"/>
        <w:rPr>
          <w:rFonts w:ascii="Times New Roman" w:hAnsi="Times New Roman"/>
        </w:rPr>
      </w:pP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lastRenderedPageBreak/>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A114B6"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lastRenderedPageBreak/>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lastRenderedPageBreak/>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3B44F3" w:rsidRPr="003C63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AA6190" w:rsidRDefault="003B44F3" w:rsidP="00225F83">
      <w:pPr>
        <w:pStyle w:val="NormalWeb"/>
        <w:shd w:val="clear" w:color="auto" w:fill="FFFFFF"/>
        <w:spacing w:before="90" w:beforeAutospacing="0" w:after="0" w:afterAutospacing="0"/>
        <w:ind w:left="794"/>
        <w:jc w:val="both"/>
        <w:rPr>
          <w:bCs/>
          <w:spacing w:val="2"/>
          <w:sz w:val="21"/>
          <w:szCs w:val="21"/>
        </w:rPr>
      </w:pPr>
      <w:r w:rsidRPr="00225F83">
        <w:rPr>
          <w:bCs/>
          <w:spacing w:val="2"/>
          <w:sz w:val="21"/>
          <w:szCs w:val="21"/>
        </w:rPr>
        <w:t xml:space="preserve">                                                                             </w:t>
      </w:r>
    </w:p>
    <w:p w:rsidR="00AA6190" w:rsidRDefault="00AA6190" w:rsidP="00225F83">
      <w:pPr>
        <w:pStyle w:val="NormalWeb"/>
        <w:shd w:val="clear" w:color="auto" w:fill="FFFFFF"/>
        <w:spacing w:before="90" w:beforeAutospacing="0" w:after="0" w:afterAutospacing="0"/>
        <w:ind w:left="794"/>
        <w:jc w:val="both"/>
        <w:rPr>
          <w:bCs/>
          <w:spacing w:val="2"/>
          <w:sz w:val="21"/>
          <w:szCs w:val="21"/>
        </w:rPr>
      </w:pPr>
    </w:p>
    <w:p w:rsidR="00AA6190" w:rsidRDefault="00AA6190" w:rsidP="00225F83">
      <w:pPr>
        <w:pStyle w:val="NormalWeb"/>
        <w:shd w:val="clear" w:color="auto" w:fill="FFFFFF"/>
        <w:spacing w:before="90" w:beforeAutospacing="0" w:after="0" w:afterAutospacing="0"/>
        <w:ind w:left="794"/>
        <w:jc w:val="both"/>
        <w:rPr>
          <w:bCs/>
          <w:spacing w:val="2"/>
          <w:sz w:val="21"/>
          <w:szCs w:val="21"/>
        </w:rPr>
      </w:pPr>
    </w:p>
    <w:p w:rsidR="00AA6190" w:rsidRDefault="00AA6190" w:rsidP="00225F83">
      <w:pPr>
        <w:pStyle w:val="NormalWeb"/>
        <w:shd w:val="clear" w:color="auto" w:fill="FFFFFF"/>
        <w:spacing w:before="90" w:beforeAutospacing="0" w:after="0" w:afterAutospacing="0"/>
        <w:ind w:left="794"/>
        <w:jc w:val="both"/>
        <w:rPr>
          <w:bCs/>
          <w:spacing w:val="2"/>
          <w:sz w:val="21"/>
          <w:szCs w:val="21"/>
        </w:rPr>
      </w:pPr>
    </w:p>
    <w:p w:rsidR="00AA6190" w:rsidRDefault="00AA6190" w:rsidP="00225F83">
      <w:pPr>
        <w:pStyle w:val="NormalWeb"/>
        <w:shd w:val="clear" w:color="auto" w:fill="FFFFFF"/>
        <w:spacing w:before="90" w:beforeAutospacing="0" w:after="0" w:afterAutospacing="0"/>
        <w:ind w:left="794"/>
        <w:jc w:val="both"/>
        <w:rPr>
          <w:bCs/>
          <w:spacing w:val="2"/>
          <w:sz w:val="21"/>
          <w:szCs w:val="21"/>
        </w:rPr>
      </w:pPr>
    </w:p>
    <w:p w:rsidR="00AA6190" w:rsidRDefault="00AA6190" w:rsidP="00225F83">
      <w:pPr>
        <w:pStyle w:val="NormalWeb"/>
        <w:shd w:val="clear" w:color="auto" w:fill="FFFFFF"/>
        <w:spacing w:before="90" w:beforeAutospacing="0" w:after="0" w:afterAutospacing="0"/>
        <w:ind w:left="79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bookmarkStart w:id="1" w:name="_GoBack"/>
      <w:bookmarkEnd w:id="1"/>
      <w:r w:rsidRPr="00225F83">
        <w:rPr>
          <w:bCs/>
          <w:spacing w:val="2"/>
          <w:sz w:val="21"/>
          <w:szCs w:val="21"/>
        </w:rPr>
        <w:lastRenderedPageBreak/>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Default="006B4198" w:rsidP="006D24EA">
      <w:pPr>
        <w:jc w:val="both"/>
        <w:rPr>
          <w:color w:val="000000"/>
          <w:sz w:val="22"/>
          <w:szCs w:val="22"/>
        </w:rPr>
      </w:pPr>
    </w:p>
    <w:p w:rsidR="00AA6190" w:rsidRPr="00A114B6" w:rsidRDefault="00AA6190"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AA6190" w:rsidP="00AA6190">
      <w:pPr>
        <w:tabs>
          <w:tab w:val="left" w:pos="3105"/>
        </w:tabs>
        <w:spacing w:line="300" w:lineRule="atLeast"/>
        <w:jc w:val="both"/>
        <w:rPr>
          <w:color w:val="000000"/>
          <w:sz w:val="22"/>
          <w:szCs w:val="22"/>
        </w:rPr>
      </w:pPr>
      <w:r>
        <w:rPr>
          <w:color w:val="000000"/>
          <w:sz w:val="22"/>
          <w:szCs w:val="22"/>
        </w:rPr>
        <w:tab/>
      </w:r>
    </w:p>
    <w:p w:rsidR="00AA6190" w:rsidRDefault="00AA6190" w:rsidP="00AA6190">
      <w:pPr>
        <w:tabs>
          <w:tab w:val="left" w:pos="3105"/>
        </w:tabs>
        <w:spacing w:line="300" w:lineRule="atLeast"/>
        <w:jc w:val="both"/>
        <w:rPr>
          <w:color w:val="000000"/>
          <w:sz w:val="22"/>
          <w:szCs w:val="22"/>
        </w:rPr>
      </w:pPr>
    </w:p>
    <w:p w:rsidR="00AA6190" w:rsidRPr="00A114B6" w:rsidRDefault="00AA6190"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956F9C" w:rsidRPr="008F1394">
        <w:rPr>
          <w:sz w:val="22"/>
          <w:szCs w:val="22"/>
        </w:rPr>
        <w:t>1</w:t>
      </w:r>
      <w:r w:rsidR="008F1394" w:rsidRPr="008F1394">
        <w:rPr>
          <w:sz w:val="22"/>
          <w:szCs w:val="22"/>
        </w:rPr>
        <w:t>7</w:t>
      </w:r>
      <w:r w:rsidR="00EC2B61" w:rsidRPr="008F1394">
        <w:rPr>
          <w:sz w:val="22"/>
          <w:szCs w:val="22"/>
        </w:rPr>
        <w:t xml:space="preserve"> </w:t>
      </w:r>
      <w:r w:rsidR="001D28BA" w:rsidRPr="008F1394">
        <w:rPr>
          <w:sz w:val="22"/>
          <w:szCs w:val="22"/>
        </w:rPr>
        <w:t>dias do mês de</w:t>
      </w:r>
      <w:r w:rsidR="008F1394" w:rsidRPr="008F1394">
        <w:rPr>
          <w:sz w:val="22"/>
          <w:szCs w:val="22"/>
        </w:rPr>
        <w:t xml:space="preserve"> fevereiro</w:t>
      </w:r>
      <w:r w:rsidR="00EE0983" w:rsidRPr="008F1394">
        <w:rPr>
          <w:sz w:val="22"/>
          <w:szCs w:val="22"/>
        </w:rPr>
        <w:t xml:space="preserve"> de 20</w:t>
      </w:r>
      <w:r w:rsidR="00297796" w:rsidRPr="008F1394">
        <w:rPr>
          <w:sz w:val="22"/>
          <w:szCs w:val="22"/>
        </w:rPr>
        <w:t>2</w:t>
      </w:r>
      <w:r w:rsidR="008F1394" w:rsidRPr="008F1394">
        <w:rPr>
          <w:sz w:val="22"/>
          <w:szCs w:val="22"/>
        </w:rPr>
        <w:t>1</w:t>
      </w:r>
      <w:r w:rsidR="00A37F11" w:rsidRPr="008F1394">
        <w:rPr>
          <w:sz w:val="22"/>
          <w:szCs w:val="22"/>
        </w:rPr>
        <w:t>.</w:t>
      </w:r>
    </w:p>
    <w:p w:rsidR="001D28BA" w:rsidRDefault="001D28BA" w:rsidP="00711A5A">
      <w:pPr>
        <w:rPr>
          <w:color w:val="000000"/>
        </w:rPr>
      </w:pPr>
    </w:p>
    <w:p w:rsidR="00AA6190" w:rsidRDefault="00AA6190" w:rsidP="00711A5A">
      <w:pPr>
        <w:rPr>
          <w:color w:val="000000"/>
        </w:rPr>
      </w:pPr>
    </w:p>
    <w:p w:rsidR="00AA6190" w:rsidRDefault="00AA6190" w:rsidP="00711A5A">
      <w:pPr>
        <w:rPr>
          <w:color w:val="000000"/>
        </w:rPr>
      </w:pPr>
    </w:p>
    <w:p w:rsidR="00AA6190" w:rsidRDefault="00AA6190" w:rsidP="00711A5A">
      <w:pPr>
        <w:rPr>
          <w:color w:val="000000"/>
        </w:rPr>
      </w:pPr>
    </w:p>
    <w:p w:rsidR="00AA6190" w:rsidRDefault="00AA6190" w:rsidP="00711A5A">
      <w:pPr>
        <w:rPr>
          <w:color w:val="000000"/>
        </w:rPr>
      </w:pPr>
    </w:p>
    <w:p w:rsidR="00AA6190" w:rsidRDefault="00AA6190"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8F1394" w:rsidRDefault="00D06811" w:rsidP="00E6380F">
            <w:pPr>
              <w:jc w:val="center"/>
            </w:pPr>
            <w:r w:rsidRPr="008F1394">
              <w:t>______________________________</w:t>
            </w:r>
          </w:p>
        </w:tc>
      </w:tr>
      <w:tr w:rsidR="00D06811" w:rsidRPr="00016A4D" w:rsidTr="00D06811">
        <w:tc>
          <w:tcPr>
            <w:tcW w:w="9494" w:type="dxa"/>
          </w:tcPr>
          <w:p w:rsidR="008F1394" w:rsidRPr="008F1394" w:rsidRDefault="008F1394" w:rsidP="008F1394">
            <w:pPr>
              <w:jc w:val="center"/>
              <w:rPr>
                <w:rFonts w:ascii="Times New Roman" w:hAnsi="Times New Roman"/>
                <w:b/>
                <w:sz w:val="22"/>
                <w:szCs w:val="22"/>
                <w:lang w:eastAsia="ar-SA"/>
              </w:rPr>
            </w:pPr>
            <w:proofErr w:type="spellStart"/>
            <w:r w:rsidRPr="008F1394">
              <w:rPr>
                <w:rFonts w:ascii="Times New Roman" w:hAnsi="Times New Roman"/>
                <w:b/>
                <w:sz w:val="22"/>
                <w:szCs w:val="22"/>
                <w:lang w:eastAsia="ar-SA"/>
              </w:rPr>
              <w:t>Elvandro</w:t>
            </w:r>
            <w:proofErr w:type="spellEnd"/>
            <w:r w:rsidRPr="008F1394">
              <w:rPr>
                <w:rFonts w:ascii="Times New Roman" w:hAnsi="Times New Roman"/>
                <w:b/>
                <w:sz w:val="22"/>
                <w:szCs w:val="22"/>
                <w:lang w:eastAsia="ar-SA"/>
              </w:rPr>
              <w:t xml:space="preserve"> Juvenal Flores Borges</w:t>
            </w:r>
          </w:p>
          <w:p w:rsidR="008F1394" w:rsidRPr="008F1394" w:rsidRDefault="008F1394" w:rsidP="008F1394">
            <w:pPr>
              <w:jc w:val="center"/>
              <w:rPr>
                <w:rFonts w:ascii="Times New Roman" w:hAnsi="Times New Roman"/>
                <w:sz w:val="20"/>
                <w:szCs w:val="20"/>
                <w:lang w:val="en-US" w:eastAsia="ar-SA"/>
              </w:rPr>
            </w:pPr>
            <w:proofErr w:type="spellStart"/>
            <w:r w:rsidRPr="008F1394">
              <w:rPr>
                <w:rFonts w:ascii="Times New Roman" w:hAnsi="Times New Roman"/>
                <w:sz w:val="20"/>
                <w:szCs w:val="20"/>
                <w:lang w:val="en-US" w:eastAsia="ar-SA"/>
              </w:rPr>
              <w:t>Eng</w:t>
            </w:r>
            <w:proofErr w:type="spellEnd"/>
            <w:r w:rsidRPr="008F1394">
              <w:rPr>
                <w:rFonts w:ascii="Times New Roman" w:hAnsi="Times New Roman"/>
                <w:sz w:val="20"/>
                <w:szCs w:val="20"/>
                <w:lang w:val="en-US" w:eastAsia="ar-SA"/>
              </w:rPr>
              <w:t>º. Civil – CREA 21.614/D-GO</w:t>
            </w:r>
          </w:p>
          <w:p w:rsidR="00D06811" w:rsidRPr="008F1394" w:rsidRDefault="00D06811" w:rsidP="008F1394">
            <w:pPr>
              <w:pStyle w:val="Ttulo2"/>
              <w:tabs>
                <w:tab w:val="left" w:pos="0"/>
              </w:tabs>
              <w:outlineLvl w:val="1"/>
              <w:rPr>
                <w:color w:val="auto"/>
                <w:sz w:val="22"/>
                <w:szCs w:val="22"/>
              </w:rPr>
            </w:pPr>
          </w:p>
        </w:tc>
      </w:tr>
    </w:tbl>
    <w:p w:rsidR="003B45DF" w:rsidRPr="00016A4D" w:rsidRDefault="003B45DF" w:rsidP="00AA6190">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7D" w:rsidRDefault="000F7A7D">
      <w:r>
        <w:separator/>
      </w:r>
    </w:p>
  </w:endnote>
  <w:endnote w:type="continuationSeparator" w:id="0">
    <w:p w:rsidR="000F7A7D" w:rsidRDefault="000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64" w:rsidRDefault="00801264" w:rsidP="00801264">
    <w:pPr>
      <w:jc w:val="center"/>
      <w:rPr>
        <w:bCs/>
        <w:i/>
        <w:iCs/>
        <w:sz w:val="18"/>
        <w:szCs w:val="18"/>
      </w:rPr>
    </w:pPr>
  </w:p>
  <w:p w:rsidR="00801264" w:rsidRDefault="00801264" w:rsidP="00801264">
    <w:pPr>
      <w:jc w:val="center"/>
      <w:rPr>
        <w:bCs/>
        <w:i/>
        <w:iCs/>
        <w:sz w:val="18"/>
        <w:szCs w:val="18"/>
      </w:rPr>
    </w:pPr>
    <w:r>
      <w:rPr>
        <w:bCs/>
        <w:i/>
        <w:iCs/>
        <w:sz w:val="18"/>
        <w:szCs w:val="18"/>
      </w:rPr>
      <w:t xml:space="preserve">Escritório/Correspondências: Av. </w:t>
    </w:r>
    <w:proofErr w:type="spellStart"/>
    <w:r>
      <w:rPr>
        <w:bCs/>
        <w:i/>
        <w:iCs/>
        <w:sz w:val="18"/>
        <w:szCs w:val="18"/>
      </w:rPr>
      <w:t>Transbrasiliana</w:t>
    </w:r>
    <w:proofErr w:type="spellEnd"/>
    <w:r>
      <w:rPr>
        <w:bCs/>
        <w:i/>
        <w:iCs/>
        <w:sz w:val="18"/>
        <w:szCs w:val="18"/>
      </w:rPr>
      <w:t xml:space="preserve"> c/ Rua T-15, </w:t>
    </w:r>
    <w:proofErr w:type="spellStart"/>
    <w:r>
      <w:rPr>
        <w:bCs/>
        <w:i/>
        <w:iCs/>
        <w:sz w:val="18"/>
        <w:szCs w:val="18"/>
      </w:rPr>
      <w:t>Qd</w:t>
    </w:r>
    <w:proofErr w:type="spellEnd"/>
    <w:r>
      <w:rPr>
        <w:bCs/>
        <w:i/>
        <w:iCs/>
        <w:sz w:val="18"/>
        <w:szCs w:val="18"/>
      </w:rPr>
      <w:t xml:space="preserve">. 610, </w:t>
    </w:r>
    <w:proofErr w:type="spellStart"/>
    <w:r>
      <w:rPr>
        <w:bCs/>
        <w:i/>
        <w:iCs/>
        <w:sz w:val="18"/>
        <w:szCs w:val="18"/>
      </w:rPr>
      <w:t>Lt</w:t>
    </w:r>
    <w:proofErr w:type="spellEnd"/>
    <w:r>
      <w:rPr>
        <w:bCs/>
        <w:i/>
        <w:iCs/>
        <w:sz w:val="18"/>
        <w:szCs w:val="18"/>
      </w:rPr>
      <w:t xml:space="preserve"> 03, Nova suíça, Goiânia-GO CEP: 74280-380</w:t>
    </w:r>
  </w:p>
  <w:p w:rsidR="00801264" w:rsidRPr="006E69FC" w:rsidRDefault="00801264" w:rsidP="00801264">
    <w:pPr>
      <w:jc w:val="center"/>
      <w:rPr>
        <w:bCs/>
        <w:i/>
        <w:iCs/>
        <w:color w:val="000058"/>
        <w:sz w:val="18"/>
        <w:szCs w:val="18"/>
      </w:rPr>
    </w:pPr>
    <w:r w:rsidRPr="00A20507">
      <w:rPr>
        <w:bCs/>
        <w:i/>
        <w:iCs/>
        <w:color w:val="000058"/>
        <w:sz w:val="16"/>
        <w:szCs w:val="16"/>
      </w:rPr>
      <w:t xml:space="preserve">End. </w:t>
    </w:r>
    <w:proofErr w:type="spellStart"/>
    <w:r w:rsidRPr="00A20507">
      <w:rPr>
        <w:bCs/>
        <w:i/>
        <w:iCs/>
        <w:color w:val="000058"/>
        <w:sz w:val="16"/>
        <w:szCs w:val="16"/>
      </w:rPr>
      <w:t>Pc</w:t>
    </w:r>
    <w:proofErr w:type="spellEnd"/>
    <w:r w:rsidRPr="00A20507">
      <w:rPr>
        <w:bCs/>
        <w:i/>
        <w:iCs/>
        <w:color w:val="000058"/>
        <w:sz w:val="16"/>
        <w:szCs w:val="16"/>
      </w:rPr>
      <w:t xml:space="preserve"> Jeronimo Bento, nº s/n, </w:t>
    </w:r>
    <w:proofErr w:type="spellStart"/>
    <w:r w:rsidRPr="00A20507">
      <w:rPr>
        <w:bCs/>
        <w:i/>
        <w:iCs/>
        <w:color w:val="000058"/>
        <w:sz w:val="16"/>
        <w:szCs w:val="16"/>
      </w:rPr>
      <w:t>Qd</w:t>
    </w:r>
    <w:proofErr w:type="spellEnd"/>
    <w:r w:rsidRPr="00A20507">
      <w:rPr>
        <w:bCs/>
        <w:i/>
        <w:iCs/>
        <w:color w:val="000058"/>
        <w:sz w:val="16"/>
        <w:szCs w:val="16"/>
      </w:rPr>
      <w:t>. 14 Lt.01, sala 01, Centro, Cep: 75.398-000</w:t>
    </w:r>
    <w:r w:rsidRPr="006E69FC">
      <w:rPr>
        <w:bCs/>
        <w:i/>
        <w:iCs/>
        <w:color w:val="000058"/>
        <w:sz w:val="18"/>
        <w:szCs w:val="18"/>
      </w:rPr>
      <w:t xml:space="preserve"> </w:t>
    </w:r>
    <w:r>
      <w:rPr>
        <w:bCs/>
        <w:i/>
        <w:iCs/>
        <w:color w:val="000058"/>
        <w:sz w:val="18"/>
        <w:szCs w:val="18"/>
      </w:rPr>
      <w:t>Santa Barbara de Goiás - GO</w:t>
    </w:r>
  </w:p>
  <w:p w:rsidR="00801264" w:rsidRDefault="00801264" w:rsidP="00801264">
    <w:pPr>
      <w:jc w:val="center"/>
      <w:rPr>
        <w:bCs/>
        <w:i/>
        <w:iCs/>
        <w:color w:val="000058"/>
        <w:sz w:val="18"/>
        <w:szCs w:val="18"/>
      </w:rPr>
    </w:pPr>
    <w:r w:rsidRPr="006E69FC">
      <w:rPr>
        <w:bCs/>
        <w:i/>
        <w:iCs/>
        <w:color w:val="000058"/>
        <w:sz w:val="18"/>
        <w:szCs w:val="18"/>
      </w:rPr>
      <w:t xml:space="preserve"> Razão Social: EJFB Engenharia EIRELI     -     CNPJ/MF Nº  </w:t>
    </w:r>
    <w:r w:rsidRPr="006E69FC">
      <w:rPr>
        <w:b/>
        <w:color w:val="000058"/>
        <w:sz w:val="16"/>
        <w:szCs w:val="16"/>
      </w:rPr>
      <w:t>31.304.945/0001-20</w:t>
    </w:r>
    <w:r w:rsidRPr="006E69FC">
      <w:rPr>
        <w:bCs/>
        <w:i/>
        <w:iCs/>
        <w:color w:val="000058"/>
        <w:sz w:val="18"/>
        <w:szCs w:val="18"/>
      </w:rPr>
      <w:t xml:space="preserve">  </w:t>
    </w:r>
  </w:p>
  <w:p w:rsidR="00801264" w:rsidRPr="006E69FC" w:rsidRDefault="00801264" w:rsidP="00801264">
    <w:pPr>
      <w:jc w:val="center"/>
      <w:rPr>
        <w:bCs/>
        <w:i/>
        <w:iCs/>
        <w:color w:val="000058"/>
        <w:sz w:val="18"/>
        <w:szCs w:val="18"/>
      </w:rPr>
    </w:pPr>
    <w:r w:rsidRPr="006E69FC">
      <w:rPr>
        <w:bCs/>
        <w:i/>
        <w:iCs/>
        <w:color w:val="000058"/>
        <w:sz w:val="18"/>
        <w:szCs w:val="18"/>
      </w:rPr>
      <w:t>Fone: (6</w:t>
    </w:r>
    <w:r>
      <w:rPr>
        <w:bCs/>
        <w:i/>
        <w:iCs/>
        <w:color w:val="000058"/>
        <w:sz w:val="18"/>
        <w:szCs w:val="18"/>
      </w:rPr>
      <w:t>2</w:t>
    </w:r>
    <w:r w:rsidRPr="006E69FC">
      <w:rPr>
        <w:bCs/>
        <w:i/>
        <w:iCs/>
        <w:color w:val="000058"/>
        <w:sz w:val="18"/>
        <w:szCs w:val="18"/>
      </w:rPr>
      <w:t xml:space="preserve">) 9 </w:t>
    </w:r>
    <w:r>
      <w:rPr>
        <w:bCs/>
        <w:i/>
        <w:iCs/>
        <w:color w:val="000058"/>
        <w:sz w:val="18"/>
        <w:szCs w:val="18"/>
      </w:rPr>
      <w:t>9181-6561</w:t>
    </w:r>
    <w:r w:rsidRPr="006E69FC">
      <w:rPr>
        <w:bCs/>
        <w:i/>
        <w:iCs/>
        <w:color w:val="000058"/>
        <w:sz w:val="18"/>
        <w:szCs w:val="18"/>
      </w:rPr>
      <w:t xml:space="preserve"> </w:t>
    </w:r>
    <w:r>
      <w:rPr>
        <w:bCs/>
        <w:i/>
        <w:iCs/>
        <w:color w:val="000058"/>
        <w:sz w:val="18"/>
        <w:szCs w:val="18"/>
      </w:rPr>
      <w:t>e-mail: betterengenharia@gmail.com</w:t>
    </w:r>
    <w:r w:rsidRPr="006E69FC">
      <w:rPr>
        <w:bCs/>
        <w:i/>
        <w:iCs/>
        <w:color w:val="000058"/>
        <w:sz w:val="18"/>
        <w:szCs w:val="18"/>
      </w:rPr>
      <w:t xml:space="preserve"> </w:t>
    </w:r>
  </w:p>
  <w:p w:rsidR="00225F83" w:rsidRDefault="000F7A7D"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7D" w:rsidRDefault="000F7A7D">
      <w:r>
        <w:separator/>
      </w:r>
    </w:p>
  </w:footnote>
  <w:footnote w:type="continuationSeparator" w:id="0">
    <w:p w:rsidR="000F7A7D" w:rsidRDefault="000F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801264" w:rsidP="00801264">
    <w:pPr>
      <w:pStyle w:val="Cabealho"/>
    </w:pPr>
    <w:r>
      <w:rPr>
        <w:i/>
        <w:iCs/>
        <w:noProof/>
      </w:rPr>
      <w:drawing>
        <wp:inline distT="0" distB="0" distL="0" distR="0" wp14:anchorId="70D11A67" wp14:editId="20EEE226">
          <wp:extent cx="2143125" cy="1111885"/>
          <wp:effectExtent l="0" t="0" r="952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111885"/>
                  </a:xfrm>
                  <a:prstGeom prst="rect">
                    <a:avLst/>
                  </a:prstGeom>
                  <a:noFill/>
                  <a:ln>
                    <a:noFill/>
                  </a:ln>
                </pic:spPr>
              </pic:pic>
            </a:graphicData>
          </a:graphic>
        </wp:inline>
      </w:drawing>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8"/>
  </w:num>
  <w:num w:numId="5">
    <w:abstractNumId w:val="14"/>
  </w:num>
  <w:num w:numId="6">
    <w:abstractNumId w:val="26"/>
  </w:num>
  <w:num w:numId="7">
    <w:abstractNumId w:val="7"/>
  </w:num>
  <w:num w:numId="8">
    <w:abstractNumId w:val="6"/>
  </w:num>
  <w:num w:numId="9">
    <w:abstractNumId w:val="3"/>
  </w:num>
  <w:num w:numId="10">
    <w:abstractNumId w:val="21"/>
  </w:num>
  <w:num w:numId="11">
    <w:abstractNumId w:val="12"/>
  </w:num>
  <w:num w:numId="12">
    <w:abstractNumId w:val="24"/>
  </w:num>
  <w:num w:numId="13">
    <w:abstractNumId w:val="29"/>
  </w:num>
  <w:num w:numId="14">
    <w:abstractNumId w:val="22"/>
  </w:num>
  <w:num w:numId="15">
    <w:abstractNumId w:val="23"/>
  </w:num>
  <w:num w:numId="16">
    <w:abstractNumId w:val="0"/>
  </w:num>
  <w:num w:numId="17">
    <w:abstractNumId w:val="5"/>
  </w:num>
  <w:num w:numId="18">
    <w:abstractNumId w:val="27"/>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0F7A7D"/>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1CE8"/>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126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1394"/>
    <w:rsid w:val="008F3BCC"/>
    <w:rsid w:val="0090023F"/>
    <w:rsid w:val="0090324F"/>
    <w:rsid w:val="00903DD5"/>
    <w:rsid w:val="00904A13"/>
    <w:rsid w:val="009104FF"/>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A6190"/>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6EBD"/>
    <w:rsid w:val="00BA7D0F"/>
    <w:rsid w:val="00BB3F75"/>
    <w:rsid w:val="00BB5C49"/>
    <w:rsid w:val="00BB7F94"/>
    <w:rsid w:val="00BC60B0"/>
    <w:rsid w:val="00BC7B02"/>
    <w:rsid w:val="00BC7F4C"/>
    <w:rsid w:val="00BD02EE"/>
    <w:rsid w:val="00BD22C7"/>
    <w:rsid w:val="00BD5FE3"/>
    <w:rsid w:val="00BE0B1A"/>
    <w:rsid w:val="00BE2110"/>
    <w:rsid w:val="00BE30D6"/>
    <w:rsid w:val="00BE36CA"/>
    <w:rsid w:val="00BE3C31"/>
    <w:rsid w:val="00BE7E40"/>
    <w:rsid w:val="00BF3001"/>
    <w:rsid w:val="00BF5941"/>
    <w:rsid w:val="00BF59F6"/>
    <w:rsid w:val="00BF6118"/>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568B9"/>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3F2"/>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F53A02"/>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0B743-5819-4ED1-A5D5-A3AA6589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4762</Words>
  <Characters>25720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10</cp:revision>
  <cp:lastPrinted>2017-05-18T12:35:00Z</cp:lastPrinted>
  <dcterms:created xsi:type="dcterms:W3CDTF">2020-02-18T19:12:00Z</dcterms:created>
  <dcterms:modified xsi:type="dcterms:W3CDTF">2021-02-17T19:03:00Z</dcterms:modified>
</cp:coreProperties>
</file>